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СТРУКТУРА И СОДЕРЖАНИЕ ДИСЦИПЛИНЫ</w:t>
      </w:r>
    </w:p>
    <w:p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«СОВРЕМЕННЫЕ ПРОБЛЕМЫ ТЕОЛОГИИ»</w:t>
      </w:r>
    </w:p>
    <w:p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val="ru-RU"/>
        </w:rPr>
        <w:t>1.1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Христианская теология, её объект,предмет и место в системе духовной культуре 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1.2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Место теологии в системе духовной культуры  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1.3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Основные этапы и направления развития теологической мысли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1.4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Соотношение понятий «теология», «вероучение» и «вера» 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1.5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Отличительные особенности конфессиональных теологий и их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связь со спецификой католического, православного и протестантского вероучений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1.6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Откровение как возможность и цель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богопознания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>. Проблема реальности мистического опыта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1.7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Решение проблемы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богопознания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 в схоластический период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1.8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Творение как акт любви. Творение – свободный творческий акт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1.9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Функционалистские решения проблемы теодицеи 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1.10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Христианское учение о зле как моралистический вариант теодицеи 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1.11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Учение о воплощении и искуплении  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1.12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Личность Иисуса Христа.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Иисусология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 – антропологическая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христология</w:t>
      </w:r>
      <w:proofErr w:type="spellEnd"/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1.13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Тринитарное богословие 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1.14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Афанасий Великий и становление тринитарной терминологии. Усия,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ипостась, единосущие, подобносущие. Пневматология Василия Великого и осуждение пневматомахов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1.15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Христианская антропология 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1.16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Антропологический смысл боговоплощения 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1.17</w:t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Никео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>-Константинопольский Символ веры о свойствах истинной Церкви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1.18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Основные определения Церкви в христианской теологии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1.19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Церковь как «жизнь во Христе» и «жизнь во Святой Троице». Церковь как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Тело Христово. Человек в Церкви/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lastRenderedPageBreak/>
        <w:t>1.20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Христианское богослужение как научение и как знаково-символическая деятельность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1.21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Богослужение как «ожившая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>догматика». Учение о таинствах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1.22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Ораторское искусство и благодать в проповеди 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1.23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Этика и религия. Нравственное богословие как система религиозной этики 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1.24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Традиционные проблемы этики и проблемы нравственного богословия. Религиозная мораль. Религиозное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>чувство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1.25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Проблема обоснования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нравственных ценностей в христианстве. Религиозная психология 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1.26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Понятие истории в Библии. Чувство исторического времени Екклезиаста 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1.27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Метафизика истории в Новом завете. Теология истории в раннем христианстве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1.28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Социальная доктрина христианства  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1.29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Основные проблемы социальной позиции Церкви: отношение к власти (государству), отношение к имуществу, роль Церкви в достижении социальной справедливости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1.30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Участие Церкви в социально-политической жизни общества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1.31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Кризис научной рациональности и изменение взгляда на соотношение религии и науки в эпоху постмодернизма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1.32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Вопрос историчности и контекстуальности библейских текстов 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1.33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Библейская грамотность, библейское мировоззрение и фундаментализм</w:t>
      </w:r>
    </w:p>
    <w:p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1.34</w:t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>Конференция «Роль церкви в эпоху постмодернизма» (Сан-Франциско, 1987 г.) об изменении подхода к толкованию догматов систематического богословия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A92C3-BFEC-42AC-A8B8-CB0F6ED00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2021-12-21T11:54:00Z</dcterms:created>
  <dcterms:modified xsi:type="dcterms:W3CDTF">2021-12-28T05:10:00Z</dcterms:modified>
</cp:coreProperties>
</file>